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"/>
        <w:gridCol w:w="9889"/>
        <w:gridCol w:w="4121"/>
        <w:gridCol w:w="12686"/>
      </w:tblGrid>
      <w:tr w:rsidR="00024DD4" w:rsidRPr="00BD4D77" w:rsidTr="00CA173C">
        <w:trPr>
          <w:gridAfter w:val="1"/>
          <w:wAfter w:w="7714" w:type="dxa"/>
          <w:trHeight w:val="12900"/>
          <w:tblCellSpacing w:w="0" w:type="dxa"/>
        </w:trPr>
        <w:tc>
          <w:tcPr>
            <w:tcW w:w="6028" w:type="dxa"/>
            <w:gridSpan w:val="2"/>
            <w:shd w:val="clear" w:color="auto" w:fill="FFFFFF"/>
            <w:hideMark/>
          </w:tcPr>
          <w:p w:rsidR="00024DD4" w:rsidRDefault="00024DD4" w:rsidP="0035664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1"/>
                <w:lang w:eastAsia="es-ES"/>
              </w:rPr>
            </w:pPr>
            <w:r w:rsidRPr="00E64A17">
              <w:rPr>
                <w:rFonts w:ascii="Arial" w:eastAsia="Times New Roman" w:hAnsi="Arial" w:cs="Arial"/>
                <w:b/>
                <w:bCs/>
                <w:color w:val="003300"/>
                <w:sz w:val="21"/>
                <w:lang w:eastAsia="es-ES"/>
              </w:rPr>
              <w:t xml:space="preserve">FEDY </w:t>
            </w:r>
          </w:p>
          <w:p w:rsidR="00024DD4" w:rsidRDefault="00024DD4" w:rsidP="0035664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17"/>
                <w:lang w:eastAsia="es-ES"/>
              </w:rPr>
            </w:pPr>
            <w:r w:rsidRPr="00E64A17">
              <w:rPr>
                <w:rFonts w:ascii="Arial" w:eastAsia="Times New Roman" w:hAnsi="Arial" w:cs="Arial"/>
                <w:b/>
                <w:bCs/>
                <w:color w:val="003300"/>
                <w:sz w:val="21"/>
                <w:lang w:eastAsia="es-ES"/>
              </w:rPr>
              <w:t>FUNDACION EMPRESARIAL PARA EL DESARROLLO DE YUMBO</w:t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S"/>
              </w:rPr>
              <w:br/>
            </w:r>
            <w:r w:rsidRPr="00E64A17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s-ES"/>
              </w:rPr>
              <w:t>C</w:t>
            </w:r>
            <w:r w:rsidRPr="00E64A17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es-ES"/>
              </w:rPr>
              <w:t>ontribuyendo al progreso de Yumbo desde 1982</w:t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 xml:space="preserve"> </w:t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S"/>
              </w:rPr>
              <w:br/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 xml:space="preserve">Carrera 5 No. 6 - 27 / Barrio </w:t>
            </w:r>
            <w:proofErr w:type="spellStart"/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>Belalcázar</w:t>
            </w:r>
            <w:proofErr w:type="spellEnd"/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 xml:space="preserve"> :::: PBX / Fax: (57) (2) 669 9336 (33) </w:t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S"/>
              </w:rPr>
              <w:br/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>e-mail:</w:t>
            </w:r>
            <w:hyperlink r:id="rId7" w:history="1">
              <w:r w:rsidRPr="00E64A17">
                <w:rPr>
                  <w:rFonts w:ascii="Arial" w:eastAsia="Times New Roman" w:hAnsi="Arial" w:cs="Arial"/>
                  <w:b/>
                  <w:bCs/>
                  <w:color w:val="009900"/>
                  <w:sz w:val="17"/>
                  <w:u w:val="single"/>
                  <w:lang w:eastAsia="es-ES"/>
                </w:rPr>
                <w:t xml:space="preserve"> fedy@fedy.org.co</w:t>
              </w:r>
            </w:hyperlink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 xml:space="preserve"> / </w:t>
            </w:r>
            <w:proofErr w:type="spellStart"/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>website</w:t>
            </w:r>
            <w:proofErr w:type="spellEnd"/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 xml:space="preserve">: </w:t>
            </w:r>
            <w:hyperlink r:id="rId8" w:history="1">
              <w:r w:rsidRPr="00E64A17">
                <w:rPr>
                  <w:rFonts w:ascii="Arial" w:eastAsia="Times New Roman" w:hAnsi="Arial" w:cs="Arial"/>
                  <w:b/>
                  <w:bCs/>
                  <w:color w:val="009900"/>
                  <w:sz w:val="17"/>
                  <w:u w:val="single"/>
                  <w:lang w:eastAsia="es-ES"/>
                </w:rPr>
                <w:t>www.fedy.org.co</w:t>
              </w:r>
            </w:hyperlink>
            <w:r w:rsidRPr="00E64A17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S"/>
              </w:rPr>
              <w:br/>
            </w:r>
            <w:r w:rsidRPr="00E64A17">
              <w:rPr>
                <w:rFonts w:ascii="Arial" w:eastAsia="Times New Roman" w:hAnsi="Arial" w:cs="Arial"/>
                <w:color w:val="333333"/>
                <w:sz w:val="17"/>
                <w:lang w:eastAsia="es-ES"/>
              </w:rPr>
              <w:t>Yumbo - Valle del Cauca / Colombia - Suramérica</w:t>
            </w:r>
            <w:r w:rsidRPr="00E6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</w:r>
          </w:p>
          <w:p w:rsidR="00024DD4" w:rsidRPr="00BD16E4" w:rsidRDefault="00024DD4" w:rsidP="0035664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28"/>
                <w:szCs w:val="28"/>
                <w:lang w:eastAsia="es-ES"/>
              </w:rPr>
            </w:pPr>
          </w:p>
          <w:p w:rsidR="00024DD4" w:rsidRPr="00BD16E4" w:rsidRDefault="00024DD4" w:rsidP="0035664D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Arial" w:eastAsia="Times New Roman" w:hAnsi="Arial" w:cs="Arial"/>
                <w:b/>
                <w:bCs/>
                <w:color w:val="FF6600"/>
                <w:sz w:val="28"/>
                <w:szCs w:val="28"/>
                <w:lang w:eastAsia="es-ES"/>
              </w:rPr>
              <w:t>Misión</w:t>
            </w:r>
          </w:p>
          <w:p w:rsidR="00024DD4" w:rsidRPr="00BD16E4" w:rsidRDefault="00024DD4" w:rsidP="00024DD4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>Promover el Desarrollo de un entorno social, económico, cultural y físico, competitivo para el Municipio de Yumbo, que garantice la gestión de las actividades empresariales.</w:t>
            </w:r>
          </w:p>
          <w:p w:rsidR="00024DD4" w:rsidRPr="00BD16E4" w:rsidRDefault="00024DD4" w:rsidP="00024DD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es-ES"/>
              </w:rPr>
            </w:pPr>
          </w:p>
          <w:p w:rsidR="00024DD4" w:rsidRPr="00BD16E4" w:rsidRDefault="00024DD4" w:rsidP="00024DD4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bookmarkStart w:id="0" w:name="vi"/>
            <w:bookmarkEnd w:id="0"/>
            <w:r w:rsidRPr="00BD16E4">
              <w:rPr>
                <w:rFonts w:ascii="Arial" w:eastAsia="Times New Roman" w:hAnsi="Arial" w:cs="Arial"/>
                <w:b/>
                <w:bCs/>
                <w:color w:val="FF6600"/>
                <w:sz w:val="28"/>
                <w:szCs w:val="28"/>
                <w:lang w:eastAsia="es-ES"/>
              </w:rPr>
              <w:t>Visión</w:t>
            </w:r>
          </w:p>
          <w:p w:rsidR="00024DD4" w:rsidRPr="00BD16E4" w:rsidRDefault="00024DD4" w:rsidP="00024DD4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FEDY se ha propuesto ser promotor efectivo del mejoramiento de la calidad de vida de la población yumbeña. El mejor medio de expresión de solidaridad y responsabilidad social en Yumbo. Ser un apoyo calificado y un veedor de la gestión de la administración municipal. Ser la conciencia ética de Yumbo y </w:t>
            </w:r>
            <w:proofErr w:type="spellStart"/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>lí</w:t>
            </w:r>
            <w:proofErr w:type="spellEnd"/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>deres</w:t>
            </w:r>
            <w:proofErr w:type="spellEnd"/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 en la cohesión ciudadana.</w:t>
            </w:r>
          </w:p>
          <w:p w:rsidR="00024DD4" w:rsidRPr="00BD16E4" w:rsidRDefault="00024DD4" w:rsidP="000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es-ES"/>
              </w:rPr>
            </w:pPr>
            <w:r w:rsidRPr="00BD16E4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es-ES"/>
              </w:rPr>
              <w:br/>
            </w:r>
          </w:p>
          <w:p w:rsidR="00024DD4" w:rsidRPr="00BD16E4" w:rsidRDefault="00024DD4" w:rsidP="00024DD4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bookmarkStart w:id="1" w:name="ob"/>
            <w:bookmarkEnd w:id="1"/>
            <w:r w:rsidRPr="00BD16E4">
              <w:rPr>
                <w:rFonts w:ascii="Arial" w:eastAsia="Times New Roman" w:hAnsi="Arial" w:cs="Arial"/>
                <w:b/>
                <w:bCs/>
                <w:color w:val="FF6600"/>
                <w:sz w:val="28"/>
                <w:szCs w:val="28"/>
                <w:lang w:eastAsia="es-ES"/>
              </w:rPr>
              <w:t xml:space="preserve">Objetivos Específicos </w:t>
            </w:r>
          </w:p>
          <w:p w:rsidR="00024DD4" w:rsidRPr="00BD16E4" w:rsidRDefault="00024DD4" w:rsidP="00024DD4">
            <w:pPr>
              <w:numPr>
                <w:ilvl w:val="0"/>
                <w:numId w:val="1"/>
              </w:numPr>
              <w:spacing w:before="100" w:beforeAutospacing="1" w:after="100" w:afterAutospacing="1" w:line="21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Promover en la comunidad urbana y rural la identidad local, la autogestión y la participación calificada en los procesos sociales y decisiones </w:t>
            </w:r>
            <w:proofErr w:type="spellStart"/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>públicas.Liderar</w:t>
            </w:r>
            <w:proofErr w:type="spellEnd"/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, convocar y/o coordinar la representación del sector empresarial de Yumbo ante instituciones del sector público y </w:t>
            </w:r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lastRenderedPageBreak/>
              <w:t xml:space="preserve">privado en el desarrollo de acciones de mejoramiento y/o construcción de infraestructura, servicios públicos, seguridad, medio ambiente, en condiciones de reciprocidad frente a los consumos de ingresos aportados por el sector. </w:t>
            </w:r>
          </w:p>
          <w:p w:rsidR="00024DD4" w:rsidRPr="00BD16E4" w:rsidRDefault="00024DD4" w:rsidP="00024DD4">
            <w:pPr>
              <w:numPr>
                <w:ilvl w:val="0"/>
                <w:numId w:val="1"/>
              </w:numPr>
              <w:spacing w:before="100" w:beforeAutospacing="1" w:after="100" w:afterAutospacing="1" w:line="21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Identificar oportunidades de Desarrollo Económico Social y de Servicios, evaluarlas y promoverlas. </w:t>
            </w:r>
          </w:p>
          <w:p w:rsidR="00024DD4" w:rsidRPr="00BD16E4" w:rsidRDefault="00024DD4" w:rsidP="00024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es-ES"/>
              </w:rPr>
              <w:br/>
            </w:r>
            <w:r w:rsidRPr="00BD16E4">
              <w:rPr>
                <w:rFonts w:ascii="Arial" w:eastAsia="Times New Roman" w:hAnsi="Arial" w:cs="Arial"/>
                <w:b/>
                <w:bCs/>
                <w:color w:val="FF6600"/>
                <w:sz w:val="28"/>
                <w:szCs w:val="28"/>
                <w:lang w:eastAsia="es-ES"/>
              </w:rPr>
              <w:t>Origen</w:t>
            </w:r>
          </w:p>
          <w:p w:rsidR="00024DD4" w:rsidRPr="00BD16E4" w:rsidRDefault="00024DD4" w:rsidP="00024DD4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</w:pPr>
            <w:r w:rsidRPr="00BD16E4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ES"/>
              </w:rPr>
              <w:t xml:space="preserve">Institución privada, sin ánimo de lucro, financiada por el sector empresarial de Yumbo. Creada en 1982 en respuesta a la problemática y conflicto social por el que atravesaba la comunidad yumbeña. Su propósito fue el de incidir en el mejoramiento de la calidad de vida, la recuperación de los valores sociales y culturales de la población y lograr el acercamiento y cambio de imagen de la industria en la comunidad. </w:t>
            </w:r>
          </w:p>
          <w:tbl>
            <w:tblPr>
              <w:tblW w:w="82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</w:tblGrid>
            <w:tr w:rsidR="00024DD4" w:rsidRPr="00BD4D77" w:rsidTr="0035664D">
              <w:trPr>
                <w:tblCellSpacing w:w="0" w:type="dxa"/>
              </w:trPr>
              <w:tc>
                <w:tcPr>
                  <w:tcW w:w="795" w:type="dxa"/>
                  <w:vAlign w:val="center"/>
                  <w:hideMark/>
                </w:tcPr>
                <w:p w:rsidR="00024DD4" w:rsidRPr="00BD4D77" w:rsidRDefault="00024DD4" w:rsidP="00024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024DD4" w:rsidRPr="00BD4D77" w:rsidRDefault="00024DD4" w:rsidP="00356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es-ES"/>
              </w:rPr>
            </w:pPr>
          </w:p>
        </w:tc>
        <w:tc>
          <w:tcPr>
            <w:tcW w:w="2506" w:type="dxa"/>
            <w:shd w:val="clear" w:color="auto" w:fill="EFEFEF"/>
            <w:hideMark/>
          </w:tcPr>
          <w:tbl>
            <w:tblPr>
              <w:tblW w:w="24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0"/>
            </w:tblGrid>
            <w:tr w:rsidR="00024DD4" w:rsidRPr="00BD4D77" w:rsidTr="0035664D">
              <w:trPr>
                <w:tblCellSpacing w:w="0" w:type="dxa"/>
                <w:jc w:val="center"/>
              </w:trPr>
              <w:tc>
                <w:tcPr>
                  <w:tcW w:w="2430" w:type="dxa"/>
                  <w:vAlign w:val="center"/>
                  <w:hideMark/>
                </w:tcPr>
                <w:p w:rsidR="00024DD4" w:rsidRPr="00BD4D77" w:rsidRDefault="00024DD4" w:rsidP="00356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lastRenderedPageBreak/>
                    <w:drawing>
                      <wp:inline distT="0" distB="0" distL="0" distR="0">
                        <wp:extent cx="1019175" cy="1076325"/>
                        <wp:effectExtent l="19050" t="0" r="9525" b="0"/>
                        <wp:docPr id="3" name="Imagen 2" descr="http://www.fedy.org.co/img/fabr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fedy.org.co/img/fabr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4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BD4D7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lang w:eastAsia="es-ES"/>
                    </w:rPr>
                    <w:t xml:space="preserve">Empresas Afiliadas </w:t>
                  </w:r>
                </w:p>
              </w:tc>
            </w:tr>
          </w:tbl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s-ES"/>
              </w:rPr>
              <w:t>Alumina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s-ES"/>
              </w:rPr>
              <w:t xml:space="preserve"> S.A.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Aserquim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Ltda. Carvajal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Cementos del Valle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Compañía de Control de Contaminación Ltda.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Cryogas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Diego Llano Buenaventura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Empresa de Buses Blanco y Negro </w:t>
            </w: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Eternit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Pacifico S.A.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Esmeriles de Colombia Ltda.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Fabrisedas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Francisco </w:t>
            </w: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Lourido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Ferias y Eventos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Globoventas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Ltda. Grupo Moda Ltda.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Industrias Victoria Ltda.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La 14 S.A. </w:t>
            </w: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Profinas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Ltda.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Propal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Protécnica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Ingeniería Ltda.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Productos El Cid S.A. R.T.R.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Transportes Especiales Smurfit Cartón de Colombia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Suprapack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</w:pPr>
            <w:proofErr w:type="spellStart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>Tecnoquímicas</w:t>
            </w:r>
            <w:proofErr w:type="spellEnd"/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S"/>
              </w:rPr>
              <w:t xml:space="preserve"> S.A. </w:t>
            </w:r>
          </w:p>
          <w:p w:rsidR="00024DD4" w:rsidRPr="00BD4D77" w:rsidRDefault="00024DD4" w:rsidP="0035664D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4D77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s-ES"/>
              </w:rPr>
              <w:t xml:space="preserve">Velasco Zea Hermanos y </w:t>
            </w:r>
          </w:p>
          <w:p w:rsidR="00024DD4" w:rsidRPr="00BD4D77" w:rsidRDefault="00024DD4" w:rsidP="0035664D">
            <w:pPr>
              <w:spacing w:before="100" w:beforeAutospacing="1" w:after="100" w:afterAutospacing="1" w:line="210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cía</w:t>
            </w:r>
            <w:proofErr w:type="spellEnd"/>
          </w:p>
        </w:tc>
      </w:tr>
      <w:tr w:rsidR="00CA173C" w:rsidRPr="00E64A17" w:rsidTr="00CA173C">
        <w:trPr>
          <w:gridAfter w:val="1"/>
          <w:wAfter w:w="7714" w:type="dxa"/>
          <w:trHeight w:val="12900"/>
          <w:tblCellSpacing w:w="0" w:type="dxa"/>
        </w:trPr>
        <w:tc>
          <w:tcPr>
            <w:tcW w:w="6028" w:type="dxa"/>
            <w:gridSpan w:val="2"/>
            <w:shd w:val="clear" w:color="auto" w:fill="FFFFFF"/>
            <w:hideMark/>
          </w:tcPr>
          <w:p w:rsidR="00CA173C" w:rsidRPr="00CA173C" w:rsidRDefault="00CA173C" w:rsidP="00CA173C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3300"/>
                <w:sz w:val="21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2190750" cy="247650"/>
                  <wp:effectExtent l="19050" t="0" r="0" b="0"/>
                  <wp:docPr id="2" name="Imagen 18" descr="http://www.fedy.org.co/img/gestionempresari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fedy.org.co/img/gestionempresari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shd w:val="clear" w:color="auto" w:fill="EFEFEF"/>
            <w:hideMark/>
          </w:tcPr>
          <w:p w:rsidR="00CA173C" w:rsidRPr="00E64A17" w:rsidRDefault="00CA173C" w:rsidP="0035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A173C" w:rsidRPr="00E64A17" w:rsidTr="00CA1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blCellSpacing w:w="0" w:type="dxa"/>
        </w:trPr>
        <w:tc>
          <w:tcPr>
            <w:tcW w:w="16233" w:type="dxa"/>
            <w:gridSpan w:val="3"/>
            <w:hideMark/>
          </w:tcPr>
          <w:tbl>
            <w:tblPr>
              <w:tblW w:w="110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40"/>
            </w:tblGrid>
            <w:tr w:rsidR="00CA173C" w:rsidRPr="00E64A17" w:rsidTr="0035664D">
              <w:trPr>
                <w:tblCellSpacing w:w="0" w:type="dxa"/>
              </w:trPr>
              <w:tc>
                <w:tcPr>
                  <w:tcW w:w="8865" w:type="dxa"/>
                  <w:vAlign w:val="center"/>
                  <w:hideMark/>
                </w:tcPr>
                <w:p w:rsidR="00CA173C" w:rsidRPr="00E64A17" w:rsidRDefault="00CA173C" w:rsidP="00356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tbl>
                  <w:tblPr>
                    <w:tblW w:w="879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940"/>
                  </w:tblGrid>
                  <w:tr w:rsidR="00CA173C" w:rsidRPr="00E64A17" w:rsidTr="0035664D">
                    <w:trPr>
                      <w:trHeight w:val="8865"/>
                      <w:tblCellSpacing w:w="0" w:type="dxa"/>
                    </w:trPr>
                    <w:tc>
                      <w:tcPr>
                        <w:tcW w:w="8760" w:type="dxa"/>
                        <w:shd w:val="clear" w:color="auto" w:fill="EBEBEB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"/>
                          <w:gridCol w:w="11730"/>
                          <w:gridCol w:w="90"/>
                        </w:tblGrid>
                        <w:tr w:rsidR="00CA173C" w:rsidRPr="00E64A17" w:rsidTr="00CA173C">
                          <w:trPr>
                            <w:trHeight w:val="8805"/>
                            <w:tblCellSpacing w:w="0" w:type="dxa"/>
                          </w:trPr>
                          <w:tc>
                            <w:tcPr>
                              <w:tcW w:w="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CA173C" w:rsidRPr="00E64A17" w:rsidRDefault="00CA173C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E64A1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1730" w:type="dxa"/>
                              <w:shd w:val="clear" w:color="auto" w:fill="FFFFFF"/>
                              <w:hideMark/>
                            </w:tcPr>
                            <w:p w:rsidR="00CA173C" w:rsidRPr="00E64A17" w:rsidRDefault="00CA173C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br/>
                              </w:r>
                              <w:hyperlink r:id="rId11" w:history="1">
                                <w:r w:rsidRPr="00E64A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9900"/>
                                    <w:sz w:val="17"/>
                                    <w:u w:val="single"/>
                                    <w:lang w:eastAsia="es-ES"/>
                                  </w:rPr>
                                  <w:t xml:space="preserve">Infraestructura y Desarrollo </w:t>
                                </w:r>
                                <w:proofErr w:type="spellStart"/>
                                <w:r w:rsidRPr="00E64A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9900"/>
                                    <w:sz w:val="17"/>
                                    <w:u w:val="single"/>
                                    <w:lang w:eastAsia="es-ES"/>
                                  </w:rPr>
                                  <w:t>Fisico</w:t>
                                </w:r>
                                <w:proofErr w:type="spellEnd"/>
                              </w:hyperlink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7"/>
                                  <w:lang w:eastAsia="es-ES"/>
                                </w:rPr>
                                <w:t xml:space="preserve"> | </w:t>
                              </w:r>
                              <w:hyperlink r:id="rId12" w:history="1">
                                <w:r w:rsidRPr="00E64A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9900"/>
                                    <w:sz w:val="17"/>
                                    <w:u w:val="single"/>
                                    <w:lang w:eastAsia="es-ES"/>
                                  </w:rPr>
                                  <w:t>Servicios Públicos</w:t>
                                </w:r>
                              </w:hyperlink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7"/>
                                  <w:lang w:eastAsia="es-ES"/>
                                </w:rPr>
                                <w:t xml:space="preserve"> | </w:t>
                              </w:r>
                              <w:hyperlink r:id="rId13" w:history="1">
                                <w:r w:rsidRPr="00E64A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9900"/>
                                    <w:sz w:val="17"/>
                                    <w:u w:val="single"/>
                                    <w:lang w:eastAsia="es-ES"/>
                                  </w:rPr>
                                  <w:t>Fondo de seguridad empresarial</w:t>
                                </w:r>
                              </w:hyperlink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7"/>
                                  <w:lang w:eastAsia="es-ES"/>
                                </w:rPr>
                                <w:t xml:space="preserve"> | </w:t>
                              </w:r>
                              <w:hyperlink r:id="rId14" w:history="1">
                                <w:r w:rsidRPr="00E64A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9900"/>
                                    <w:sz w:val="17"/>
                                    <w:u w:val="single"/>
                                    <w:lang w:eastAsia="es-ES"/>
                                  </w:rPr>
                                  <w:t>Otros esfuerzos</w:t>
                                </w:r>
                              </w:hyperlink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7"/>
                                  <w:lang w:eastAsia="es-ES"/>
                                </w:rPr>
                                <w:t xml:space="preserve"> | </w:t>
                              </w:r>
                              <w:hyperlink r:id="rId15" w:history="1">
                                <w:r w:rsidRPr="00E64A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9900"/>
                                    <w:sz w:val="17"/>
                                    <w:u w:val="single"/>
                                    <w:lang w:eastAsia="es-ES"/>
                                  </w:rPr>
                                  <w:t xml:space="preserve">Concertación de Impuestos Locales </w:t>
                                </w:r>
                              </w:hyperlink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lang w:eastAsia="es-ES"/>
                                </w:rPr>
                                <w:t xml:space="preserve">Mejorar las condiciones del entorno laboral de las empresas asentadas en la zona industrial, para impulsar el desarrollo del municipio. </w:t>
                              </w:r>
                            </w:p>
                            <w:p w:rsidR="00CA173C" w:rsidRPr="00E64A17" w:rsidRDefault="00CA173C" w:rsidP="0035664D">
                              <w:pPr>
                                <w:spacing w:before="100" w:beforeAutospacing="1" w:after="100" w:afterAutospacing="1" w:line="21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t xml:space="preserve">FEDY realiza esfuerzos concentrados a mejorar las condiciones de la zona industrial en las siguientes áreas: </w:t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4762500" cy="1828800"/>
                                    <wp:effectExtent l="19050" t="0" r="0" b="0"/>
                                    <wp:docPr id="19" name="Imagen 19" descr="http://www.fedy.org.co/img/organi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fedy.org.co/img/organi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A173C" w:rsidRPr="00E64A17" w:rsidRDefault="00CA173C" w:rsidP="0035664D">
                              <w:pPr>
                                <w:spacing w:before="100" w:beforeAutospacing="1" w:after="100" w:afterAutospacing="1" w:line="21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  <w:t>La presencia de la FEDY en el sector empresarial le ha permitido conocer cada rincón del parque industrial de Yumbo, construir tejido por zonas para la solución de diferentes problemáticas.</w:t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</w:r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  <w:t xml:space="preserve">En los últimos años se ha logrado por parte del gobierno municipal nuevamente niveles de inversión importantes en el sector y con el despeque de las obras de ampliación y rehabilitación de la carretera antigua Cali - Yumbo se ha logrado la mayor participación en inversión pública en la zona industrial de los </w:t>
                              </w:r>
                              <w:proofErr w:type="spellStart"/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t>útlimos</w:t>
                              </w:r>
                              <w:proofErr w:type="spellEnd"/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t xml:space="preserve"> años. Así mismo, la presencia del Fondo de Seguridad es cada vez mayor; en la concertación de impuestos locales se han logrado avances y retrocesos sobre todo en las tarifas de servicios públicos de aseo y alumbrado público, esto sin embargo no opaca el mejoramiento que ha tenido la zona en los </w:t>
                              </w:r>
                              <w:proofErr w:type="spellStart"/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t>útlimos</w:t>
                              </w:r>
                              <w:proofErr w:type="spellEnd"/>
                              <w:r w:rsidRPr="00E64A17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t xml:space="preserve"> años en medio de la localización numerosa de empresas que se ha dado en el sector. </w:t>
                              </w:r>
                            </w:p>
                            <w:tbl>
                              <w:tblPr>
                                <w:tblW w:w="117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199"/>
                                <w:gridCol w:w="60"/>
                                <w:gridCol w:w="2441"/>
                              </w:tblGrid>
                              <w:tr w:rsidR="00CA173C" w:rsidRPr="00E64A17" w:rsidTr="0035664D">
                                <w:trPr>
                                  <w:trHeight w:val="9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210" w:type="dxa"/>
                                    <w:hideMark/>
                                  </w:tcPr>
                                  <w:tbl>
                                    <w:tblPr>
                                      <w:tblW w:w="915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50"/>
                                    </w:tblGrid>
                                    <w:tr w:rsidR="00CA173C" w:rsidRPr="00E64A17" w:rsidTr="00CA173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903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30"/>
                                          </w:tblGrid>
                                          <w:tr w:rsidR="00CA173C" w:rsidRPr="00E64A17" w:rsidTr="0035664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8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950" w:type="dxa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950"/>
                                                </w:tblGrid>
                                                <w:tr w:rsidR="00CA173C" w:rsidRPr="00E64A17" w:rsidTr="0035664D">
                                                  <w:trPr>
                                                    <w:trHeight w:val="484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BEBEB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61"/>
                                                        <w:gridCol w:w="7739"/>
                                                        <w:gridCol w:w="120"/>
                                                      </w:tblGrid>
                                                      <w:tr w:rsidR="00CA173C" w:rsidRPr="00E64A17" w:rsidTr="0035664D">
                                                        <w:trPr>
                                                          <w:trHeight w:val="4815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6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CA173C" w:rsidRPr="00E64A17" w:rsidRDefault="00CA173C" w:rsidP="0035664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710" w:type="dxa"/>
                                                            <w:shd w:val="clear" w:color="auto" w:fill="FFFFFF"/>
                                                            <w:hideMark/>
                                                          </w:tcPr>
                                                          <w:p w:rsidR="00CA173C" w:rsidRPr="00E64A17" w:rsidRDefault="00CA173C" w:rsidP="0035664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</w:pPr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  <w:lang w:eastAsia="es-ES"/>
                                                              </w:rPr>
                                                              <w:br/>
                                                            </w:r>
                                                            <w:hyperlink r:id="rId17" w:history="1">
                                                              <w:r w:rsidRPr="00E64A1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009900"/>
                                                                  <w:sz w:val="17"/>
                                                                  <w:u w:val="single"/>
                                                                  <w:lang w:eastAsia="es-ES"/>
                                                                </w:rPr>
                                                                <w:t>Formación de Opinión Pública</w:t>
                                                              </w:r>
                                                            </w:hyperlink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17"/>
                                                                <w:lang w:eastAsia="es-ES"/>
                                                              </w:rPr>
                                                              <w:t xml:space="preserve"> |</w:t>
                                                            </w:r>
                                                            <w:r w:rsidRPr="00E64A1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18" w:history="1">
                                                              <w:r w:rsidRPr="00E64A1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009900"/>
                                                                  <w:sz w:val="17"/>
                                                                  <w:u w:val="single"/>
                                                                  <w:lang w:eastAsia="es-ES"/>
                                                                </w:rPr>
                                                                <w:t>Seguimiento a la Gestión Administrativa</w:t>
                                                              </w:r>
                                                            </w:hyperlink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17"/>
                                                                <w:lang w:eastAsia="es-ES"/>
                                                              </w:rPr>
                                                              <w:t xml:space="preserve"> | </w:t>
                                                            </w:r>
                                                            <w:hyperlink r:id="rId19" w:history="1">
                                                              <w:r w:rsidRPr="00E64A1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00990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  <w:lang w:eastAsia="es-ES"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E64A1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009900"/>
                                                                  <w:sz w:val="17"/>
                                                                  <w:u w:val="single"/>
                                                                  <w:lang w:eastAsia="es-ES"/>
                                                                </w:rPr>
                                                                <w:t>Fortalecimiento de las organizaciones Comunitarias</w:t>
                                                              </w:r>
                                                            </w:hyperlink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17"/>
                                                                <w:lang w:eastAsia="es-E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20" w:history="1">
                                                              <w:r w:rsidRPr="00E64A1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990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  <w:lang w:eastAsia="es-ES"/>
                                                                </w:rPr>
                                                                <w:br/>
                                                              </w:r>
                                                            </w:hyperlink>
                                                          </w:p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3375" w:type="dxa"/>
                                                              <w:tblCellSpacing w:w="15" w:type="dxa"/>
                                                              <w:tblCellMar>
                                                                <w:top w:w="30" w:type="dxa"/>
                                                                <w:left w:w="30" w:type="dxa"/>
                                                                <w:bottom w:w="30" w:type="dxa"/>
                                                                <w:right w:w="3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3900"/>
                                                            </w:tblGrid>
                                                            <w:tr w:rsidR="00CA173C" w:rsidRPr="00E64A17" w:rsidTr="0035664D">
                                                              <w:trPr>
                                                                <w:trHeight w:val="2310"/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255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A173C" w:rsidRPr="00E64A17" w:rsidRDefault="00CA173C" w:rsidP="0035664D">
                                                                  <w:pPr>
                                                                    <w:spacing w:after="0" w:line="21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  <w:sz w:val="17"/>
                                                                      <w:szCs w:val="17"/>
                                                                      <w:lang w:eastAsia="es-ES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color w:val="333333"/>
                                                                      <w:sz w:val="17"/>
                                                                      <w:szCs w:val="17"/>
                                                                      <w:lang w:eastAsia="es-ES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381250" cy="1876425"/>
                                                                        <wp:effectExtent l="19050" t="0" r="0" b="0"/>
                                                                        <wp:docPr id="26" name="Imagen 26" descr="http://www.fedy.org.co/img/gesp.jp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6" descr="http://www.fedy.org.co/img/gesp.jp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1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381250" cy="18764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CA173C" w:rsidRPr="00E64A17" w:rsidRDefault="00CA173C" w:rsidP="0035664D">
                                                            <w:pPr>
                                                              <w:spacing w:before="100" w:beforeAutospacing="1" w:after="240" w:line="21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  <w:lang w:eastAsia="es-ES"/>
                                                              </w:rPr>
                                                            </w:pP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t xml:space="preserve">La FEDY realiza tareas orientadas a fortalecer el tejido social, promover la participación ciudadana, formar opinión pública, lo cual genere reflexión y cambio de costumbres políticas e impulse el mejoramiento integral de la gestión municipal. </w:t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br/>
                                                              <w:t>La Fundación empezó a trabajar en esta área a partir de 1992, teniendo en cuenta circunstancias como: el sector empresarial y las organizaciones sociales y comunitarias mostraban señales de desesperanza, incremento de impuestos locales, estado de abandono de la infraestructura del sector</w:t>
                                                            </w:r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  <w:lang w:eastAsia="es-E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t>industrial, un municipio que no garantizaba</w:t>
                                                            </w:r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  <w:lang w:eastAsia="es-E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t xml:space="preserve">las condiciones mínimas y óptimas para el desarrollo local. </w:t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BD16E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br/>
                                                              <w:t>Los recursos aportados por los afiliados a la Fundación eran insuficientes comparados con la magnitud de las problemáticas del municipio, sin embargo, esto contrastaba con el potencial económico y de gestión que puede tener una administración municipal eficiente y comprometida con el desarrollo de Yumbo, debido a que los indicadores históricos del municipio muestran la paradoja entre desarrollo económico, pobreza y baja capacidad de gestión efectiva, es por eso que dentro de las acciones de la FEDY , está el garantizar el buen uso de los recursos municipales.</w:t>
                                                            </w:r>
                                                            <w:r w:rsidRPr="00E64A1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  <w:lang w:eastAsia="es-E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CA173C" w:rsidRPr="00E64A17" w:rsidRDefault="00CA173C" w:rsidP="0035664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</w:pPr>
                                                            <w:r w:rsidRPr="00E64A1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s-ES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CA173C" w:rsidRPr="00E64A17" w:rsidRDefault="00CA173C" w:rsidP="0035664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s-E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A173C" w:rsidRPr="00E64A17" w:rsidRDefault="00CA173C" w:rsidP="0035664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A173C" w:rsidRPr="00E64A17" w:rsidRDefault="00CA173C" w:rsidP="0035664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A173C" w:rsidRPr="00E64A17" w:rsidRDefault="00CA173C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" w:type="dxa"/>
                                    <w:shd w:val="clear" w:color="auto" w:fill="EBEBEB"/>
                                    <w:vAlign w:val="center"/>
                                    <w:hideMark/>
                                  </w:tcPr>
                                  <w:p w:rsidR="00CA173C" w:rsidRPr="00E64A17" w:rsidRDefault="00CA173C" w:rsidP="003566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r w:rsidRPr="00E64A1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EBEBEB"/>
                                    <w:hideMark/>
                                  </w:tcPr>
                                  <w:p w:rsidR="00CA173C" w:rsidRPr="00E64A17" w:rsidRDefault="00CA173C" w:rsidP="0035664D">
                                    <w:pPr>
                                      <w:spacing w:before="100" w:beforeAutospacing="1" w:after="100" w:afterAutospacing="1" w:line="21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E64A17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  <w:p w:rsidR="00CA173C" w:rsidRPr="00E64A17" w:rsidRDefault="00CA173C" w:rsidP="0035664D">
                                    <w:pPr>
                                      <w:spacing w:before="100" w:beforeAutospacing="1" w:after="100" w:afterAutospacing="1" w:line="21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E64A17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  <w:p w:rsidR="00CA173C" w:rsidRPr="00E64A17" w:rsidRDefault="00CA173C" w:rsidP="0035664D">
                                    <w:pPr>
                                      <w:spacing w:before="100" w:beforeAutospacing="1" w:after="100" w:afterAutospacing="1" w:line="21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E64A17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A173C" w:rsidRPr="00E64A17" w:rsidRDefault="00CA173C" w:rsidP="0035664D">
                              <w:pPr>
                                <w:spacing w:before="100" w:beforeAutospacing="1" w:after="100" w:afterAutospacing="1" w:line="21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CA173C" w:rsidRPr="00E64A17" w:rsidRDefault="00CA173C" w:rsidP="003566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E64A1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CA173C" w:rsidRPr="00E64A17" w:rsidRDefault="00CA173C" w:rsidP="003566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</w:tbl>
                <w:p w:rsidR="00CA173C" w:rsidRPr="00E64A17" w:rsidRDefault="00CA173C" w:rsidP="00356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CA173C" w:rsidRPr="00E64A17" w:rsidRDefault="00CA173C" w:rsidP="0035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101E0" w:rsidRDefault="009101E0"/>
    <w:sectPr w:rsidR="009101E0" w:rsidSect="00CA17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3C" w:rsidRDefault="00CA173C" w:rsidP="00CA173C">
      <w:pPr>
        <w:spacing w:after="0" w:line="240" w:lineRule="auto"/>
      </w:pPr>
      <w:r>
        <w:separator/>
      </w:r>
    </w:p>
  </w:endnote>
  <w:endnote w:type="continuationSeparator" w:id="1">
    <w:p w:rsidR="00CA173C" w:rsidRDefault="00CA173C" w:rsidP="00C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3C" w:rsidRDefault="00CA173C" w:rsidP="00CA173C">
      <w:pPr>
        <w:spacing w:after="0" w:line="240" w:lineRule="auto"/>
      </w:pPr>
      <w:r>
        <w:separator/>
      </w:r>
    </w:p>
  </w:footnote>
  <w:footnote w:type="continuationSeparator" w:id="1">
    <w:p w:rsidR="00CA173C" w:rsidRDefault="00CA173C" w:rsidP="00C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6DB"/>
    <w:multiLevelType w:val="multilevel"/>
    <w:tmpl w:val="9D5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D3F27"/>
    <w:multiLevelType w:val="multilevel"/>
    <w:tmpl w:val="D85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DD4"/>
    <w:rsid w:val="00024DD4"/>
    <w:rsid w:val="00204E85"/>
    <w:rsid w:val="0034141D"/>
    <w:rsid w:val="003D2266"/>
    <w:rsid w:val="009101E0"/>
    <w:rsid w:val="00BD16E4"/>
    <w:rsid w:val="00CA173C"/>
    <w:rsid w:val="00F8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D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73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A1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73C"/>
  </w:style>
  <w:style w:type="paragraph" w:styleId="Piedepgina">
    <w:name w:val="footer"/>
    <w:basedOn w:val="Normal"/>
    <w:link w:val="PiedepginaCar"/>
    <w:uiPriority w:val="99"/>
    <w:semiHidden/>
    <w:unhideWhenUsed/>
    <w:rsid w:val="00CA1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y.org" TargetMode="External"/><Relationship Id="rId13" Type="http://schemas.openxmlformats.org/officeDocument/2006/relationships/hyperlink" Target="http://www.fedy.org.co/fondos_y_concertacion.htm" TargetMode="External"/><Relationship Id="rId18" Type="http://schemas.openxmlformats.org/officeDocument/2006/relationships/hyperlink" Target="http://www.fedy.org.co/seg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mailto:fedy@fedy.org.co" TargetMode="External"/><Relationship Id="rId12" Type="http://schemas.openxmlformats.org/officeDocument/2006/relationships/hyperlink" Target="http://www.fedy.org.co/sp.htm" TargetMode="External"/><Relationship Id="rId17" Type="http://schemas.openxmlformats.org/officeDocument/2006/relationships/hyperlink" Target="http://www.fedy.org.co/opinion_public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fedy.org.co/admin_financiera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y.org.co/mejoramiento_serv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dy.org.co/concertacion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://www.fedy.org.co/org_comunitaria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fedy.org.co/oesf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sala1-12</cp:lastModifiedBy>
  <cp:revision>3</cp:revision>
  <dcterms:created xsi:type="dcterms:W3CDTF">2010-11-12T04:59:00Z</dcterms:created>
  <dcterms:modified xsi:type="dcterms:W3CDTF">2010-11-12T17:15:00Z</dcterms:modified>
</cp:coreProperties>
</file>